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961"/>
        <w:gridCol w:w="687"/>
        <w:gridCol w:w="1969"/>
        <w:gridCol w:w="120"/>
        <w:gridCol w:w="2201"/>
      </w:tblGrid>
      <w:tr w:rsidR="007D382B" w:rsidRPr="005348E2" w14:paraId="35A2D414" w14:textId="77777777" w:rsidTr="006404E6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5348E2" w14:paraId="32DB9ABB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42AEDCA8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911" w:type="dxa"/>
            <w:gridSpan w:val="5"/>
          </w:tcPr>
          <w:p w14:paraId="4953E742" w14:textId="11ACD955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E9142E" w14:paraId="7492E98F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2DCBC3EA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911" w:type="dxa"/>
            <w:gridSpan w:val="5"/>
          </w:tcPr>
          <w:p w14:paraId="7D27A286" w14:textId="5750CFA6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5348E2" w14:paraId="79CB177C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43170EF5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911" w:type="dxa"/>
            <w:gridSpan w:val="5"/>
          </w:tcPr>
          <w:p w14:paraId="66A59828" w14:textId="3F6E51D3" w:rsidR="0079765A" w:rsidRPr="005348E2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6404E6" w:rsidRPr="005348E2" w14:paraId="4D776F29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7F50F1E5" w14:textId="77777777" w:rsidR="006404E6" w:rsidRPr="005348E2" w:rsidRDefault="006404E6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917" w:type="dxa"/>
          </w:tcPr>
          <w:p w14:paraId="5F5CD626" w14:textId="49568372" w:rsidR="006404E6" w:rsidRPr="006404E6" w:rsidRDefault="006404E6" w:rsidP="00215541">
            <w:pPr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6404E6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ΒΠ0102</w:t>
            </w:r>
          </w:p>
        </w:tc>
        <w:tc>
          <w:tcPr>
            <w:tcW w:w="2663" w:type="dxa"/>
            <w:gridSpan w:val="2"/>
            <w:shd w:val="clear" w:color="auto" w:fill="F2F2F2" w:themeFill="background1" w:themeFillShade="F2"/>
          </w:tcPr>
          <w:p w14:paraId="079068AB" w14:textId="77777777" w:rsidR="006404E6" w:rsidRPr="005348E2" w:rsidRDefault="006404E6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331" w:type="dxa"/>
            <w:gridSpan w:val="2"/>
          </w:tcPr>
          <w:p w14:paraId="6957EB99" w14:textId="77777777" w:rsidR="006404E6" w:rsidRPr="005348E2" w:rsidRDefault="006404E6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1</w:t>
            </w:r>
            <w:r w:rsidRPr="00961A30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</w:p>
        </w:tc>
      </w:tr>
      <w:tr w:rsidR="007D382B" w:rsidRPr="005348E2" w14:paraId="5C8B8219" w14:textId="77777777" w:rsidTr="006404E6">
        <w:trPr>
          <w:trHeight w:val="375"/>
        </w:trPr>
        <w:tc>
          <w:tcPr>
            <w:tcW w:w="4721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911" w:type="dxa"/>
            <w:gridSpan w:val="5"/>
            <w:vAlign w:val="center"/>
          </w:tcPr>
          <w:p w14:paraId="11FE1C2C" w14:textId="036ED4AA" w:rsidR="0079765A" w:rsidRPr="00FA781D" w:rsidRDefault="00FA781D" w:rsidP="00E9142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FA781D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ΒΙΟΣΤΑΤΙΣΤΙΚΗ</w:t>
            </w:r>
          </w:p>
        </w:tc>
      </w:tr>
      <w:tr w:rsidR="007D382B" w:rsidRPr="005348E2" w14:paraId="323BA64E" w14:textId="77777777" w:rsidTr="006404E6">
        <w:trPr>
          <w:trHeight w:val="196"/>
        </w:trPr>
        <w:tc>
          <w:tcPr>
            <w:tcW w:w="6328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094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210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5348E2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5348E2" w14:paraId="7318D03C" w14:textId="77777777" w:rsidTr="006404E6">
        <w:trPr>
          <w:trHeight w:val="194"/>
        </w:trPr>
        <w:tc>
          <w:tcPr>
            <w:tcW w:w="6328" w:type="dxa"/>
            <w:gridSpan w:val="3"/>
          </w:tcPr>
          <w:p w14:paraId="3567BC01" w14:textId="7F7D4A5C" w:rsidR="0079765A" w:rsidRPr="005348E2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094" w:type="dxa"/>
            <w:gridSpan w:val="2"/>
          </w:tcPr>
          <w:p w14:paraId="67A438A5" w14:textId="7C178B02" w:rsidR="0079765A" w:rsidRPr="005348E2" w:rsidRDefault="00D55DCE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  <w:tc>
          <w:tcPr>
            <w:tcW w:w="2210" w:type="dxa"/>
          </w:tcPr>
          <w:p w14:paraId="221DFA52" w14:textId="2E3CB347" w:rsidR="0079765A" w:rsidRPr="005348E2" w:rsidRDefault="00D55DCE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</w:tr>
      <w:tr w:rsidR="007D382B" w:rsidRPr="005348E2" w14:paraId="41EB3AE7" w14:textId="77777777" w:rsidTr="006404E6">
        <w:trPr>
          <w:trHeight w:val="180"/>
        </w:trPr>
        <w:tc>
          <w:tcPr>
            <w:tcW w:w="4721" w:type="dxa"/>
            <w:shd w:val="clear" w:color="auto" w:fill="F2F2F2" w:themeFill="background1" w:themeFillShade="F2"/>
          </w:tcPr>
          <w:p w14:paraId="16A3DDEC" w14:textId="7B77CDF4" w:rsidR="0079765A" w:rsidRPr="005348E2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911" w:type="dxa"/>
            <w:gridSpan w:val="5"/>
          </w:tcPr>
          <w:p w14:paraId="27855A70" w14:textId="52C9DDE3" w:rsidR="0079765A" w:rsidRPr="005348E2" w:rsidRDefault="006404E6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Υποχρεωτικό</w:t>
            </w:r>
          </w:p>
        </w:tc>
      </w:tr>
      <w:tr w:rsidR="007D382B" w:rsidRPr="005348E2" w14:paraId="112134F8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783F7CF1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911" w:type="dxa"/>
            <w:gridSpan w:val="5"/>
          </w:tcPr>
          <w:p w14:paraId="36A91F44" w14:textId="36115783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7D382B" w:rsidRPr="005348E2" w14:paraId="643294CE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41F9C996" w14:textId="6E76035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5"/>
          </w:tcPr>
          <w:p w14:paraId="26B761E0" w14:textId="53D52556" w:rsidR="0079765A" w:rsidRPr="005348E2" w:rsidRDefault="00D55DCE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Ελληνικά</w:t>
            </w:r>
          </w:p>
        </w:tc>
      </w:tr>
      <w:tr w:rsidR="007D382B" w:rsidRPr="00E9142E" w14:paraId="41B55828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03839927" w14:textId="77777777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911" w:type="dxa"/>
            <w:gridSpan w:val="5"/>
          </w:tcPr>
          <w:p w14:paraId="6A971960" w14:textId="7299C4E8" w:rsidR="0079765A" w:rsidRPr="005348E2" w:rsidRDefault="0079765A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7D382B" w:rsidRPr="005348E2" w14:paraId="5006BD9D" w14:textId="77777777" w:rsidTr="006404E6">
        <w:trPr>
          <w:trHeight w:val="240"/>
        </w:trPr>
        <w:tc>
          <w:tcPr>
            <w:tcW w:w="4721" w:type="dxa"/>
            <w:shd w:val="clear" w:color="auto" w:fill="F2F2F2" w:themeFill="background1" w:themeFillShade="F2"/>
          </w:tcPr>
          <w:p w14:paraId="6503E007" w14:textId="0F92E333" w:rsidR="0079765A" w:rsidRPr="005348E2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911" w:type="dxa"/>
            <w:gridSpan w:val="5"/>
          </w:tcPr>
          <w:p w14:paraId="60B66327" w14:textId="1023E18F" w:rsidR="0079765A" w:rsidRPr="005348E2" w:rsidRDefault="0079765A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</w:tr>
      <w:tr w:rsidR="007D382B" w:rsidRPr="005348E2" w14:paraId="2DF77961" w14:textId="77777777" w:rsidTr="006404E6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5348E2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E9142E" w14:paraId="68997783" w14:textId="77777777" w:rsidTr="006404E6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5348E2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5348E2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E9142E" w14:paraId="0475FEA0" w14:textId="77777777" w:rsidTr="006404E6">
        <w:tc>
          <w:tcPr>
            <w:tcW w:w="10632" w:type="dxa"/>
            <w:gridSpan w:val="6"/>
            <w:shd w:val="clear" w:color="auto" w:fill="auto"/>
          </w:tcPr>
          <w:p w14:paraId="08D8E92C" w14:textId="64C6E6BC" w:rsidR="000F5DF6" w:rsidRPr="005348E2" w:rsidRDefault="00D55DCE" w:rsidP="005B3D19">
            <w:pPr>
              <w:jc w:val="both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Το μάθημα θα παρέχει μια θεμελιώδη κατανόηση της ερευνητικής μεθοδολογίας και της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>βιοστατιστικής</w:t>
            </w:r>
            <w:proofErr w:type="spellEnd"/>
            <w:r w:rsidR="005B3D19">
              <w:rPr>
                <w:rFonts w:ascii="Cambria" w:hAnsi="Cambria" w:cstheme="minorHAnsi"/>
                <w:sz w:val="20"/>
                <w:szCs w:val="20"/>
                <w:lang w:val="el-GR"/>
              </w:rPr>
              <w:t>,</w:t>
            </w:r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προσαρμοσμένη για προπτυχιακούς φοιτητές των βιολογικών και περιβαλλοντικών επιστημών</w:t>
            </w:r>
            <w:r w:rsidR="005B3D19">
              <w:rPr>
                <w:rFonts w:ascii="Cambria" w:hAnsi="Cambria" w:cstheme="minorHAnsi"/>
                <w:sz w:val="20"/>
                <w:szCs w:val="20"/>
                <w:lang w:val="el-GR"/>
              </w:rPr>
              <w:t>. Θα</w:t>
            </w:r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προσφέρ</w:t>
            </w:r>
            <w:r w:rsidR="005B3D19">
              <w:rPr>
                <w:rFonts w:ascii="Cambria" w:hAnsi="Cambria" w:cstheme="minorHAnsi"/>
                <w:sz w:val="20"/>
                <w:szCs w:val="20"/>
                <w:lang w:val="el-GR"/>
              </w:rPr>
              <w:t>ει</w:t>
            </w:r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πρακτική εμπειρία με πραγματικά βιολογικά δεδομένα και μελέτες περίπτωσης, ενσωματώνοντας διεπιστημονικές γνώσεις από τομείς όπως η βιολογία, η περιβαλλοντική επιστήμη και η βιοστατιστική. </w:t>
            </w:r>
            <w:r w:rsidR="005B3D19">
              <w:rPr>
                <w:rFonts w:ascii="Cambria" w:hAnsi="Cambria" w:cstheme="minorHAnsi"/>
                <w:sz w:val="20"/>
                <w:szCs w:val="20"/>
                <w:lang w:val="el-GR"/>
              </w:rPr>
              <w:t>Οι σπουδαστές θα αποκτήσουν δεξιότητες και θα προετοιμαστούν</w:t>
            </w:r>
            <w:r w:rsidRPr="00D55DCE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για τη διεξαγωγή και κριτική αξιολόγηση της έρευνας στην ακαδημαϊκή και επαγγελματική τους σταδιοδρομία.</w:t>
            </w:r>
          </w:p>
        </w:tc>
      </w:tr>
      <w:tr w:rsidR="007D382B" w:rsidRPr="00E9142E" w14:paraId="38F0543A" w14:textId="77777777" w:rsidTr="006404E6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5348E2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E9142E" w14:paraId="62CA5CEE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47392ACB" w14:textId="77777777" w:rsidR="0079765A" w:rsidRPr="000B532C" w:rsidRDefault="0079765A" w:rsidP="00213EA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511EE8B4" w14:textId="5EA0D8C5" w:rsidR="00B84423" w:rsidRPr="00B84423" w:rsidRDefault="00B84423" w:rsidP="00213EA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</w:tc>
        <w:tc>
          <w:tcPr>
            <w:tcW w:w="5911" w:type="dxa"/>
            <w:gridSpan w:val="5"/>
            <w:shd w:val="clear" w:color="auto" w:fill="F2F2F2" w:themeFill="background1" w:themeFillShade="F2"/>
          </w:tcPr>
          <w:p w14:paraId="708C11FA" w14:textId="77777777" w:rsidR="00213EA6" w:rsidRPr="00B84423" w:rsidRDefault="00213EA6" w:rsidP="00213EA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73567A17" w14:textId="77777777" w:rsidR="00B84423" w:rsidRPr="005348E2" w:rsidRDefault="00B84423" w:rsidP="00B844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89A9928" w14:textId="77777777" w:rsidR="00213EA6" w:rsidRPr="005348E2" w:rsidRDefault="00213EA6" w:rsidP="00213EA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4FA75DE8" w14:textId="2BB475B4" w:rsidR="0079765A" w:rsidRPr="005348E2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7D382B" w:rsidRPr="005348E2" w14:paraId="4A9A2615" w14:textId="77777777" w:rsidTr="006404E6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E9142E" w14:paraId="0AE1AD6D" w14:textId="77777777" w:rsidTr="006404E6">
        <w:tc>
          <w:tcPr>
            <w:tcW w:w="10632" w:type="dxa"/>
            <w:gridSpan w:val="6"/>
            <w:shd w:val="clear" w:color="auto" w:fill="auto"/>
          </w:tcPr>
          <w:p w14:paraId="3FDAF2C5" w14:textId="19F0416F" w:rsidR="00877657" w:rsidRPr="001C55B8" w:rsidRDefault="00877657" w:rsidP="003A147F">
            <w:pPr>
              <w:contextualSpacing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</w:t>
            </w:r>
            <w:r w:rsidR="005B3D19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θα </w:t>
            </w: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t>περιλαμβάνουν:</w:t>
            </w:r>
          </w:p>
          <w:p w14:paraId="5630EB79" w14:textId="62A318E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Εισαγωγή στη</w:t>
            </w:r>
            <w:r w:rsidR="001C55B8">
              <w:rPr>
                <w:rFonts w:ascii="Cambria" w:hAnsi="Cambria" w:cstheme="minorHAnsi"/>
                <w:sz w:val="20"/>
                <w:szCs w:val="20"/>
              </w:rPr>
              <w:t>ν</w:t>
            </w:r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ερευνητική μεθοδολογία</w:t>
            </w:r>
          </w:p>
          <w:p w14:paraId="2DC65926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Βασικές δεξιότητες κειμενογράφου (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word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–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writer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2D56D8A1" w14:textId="533BC14F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Βασικές δεξιότητες </w:t>
            </w:r>
            <w:r w:rsidR="001C55B8">
              <w:rPr>
                <w:rFonts w:ascii="Cambria" w:hAnsi="Cambria" w:cstheme="minorHAnsi"/>
                <w:sz w:val="20"/>
                <w:szCs w:val="20"/>
              </w:rPr>
              <w:t>λογιστικών φύλλων</w:t>
            </w:r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(Excel –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Calc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77C15973" w14:textId="77777777" w:rsid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Εισαγωγή στη βιοστατιστική</w:t>
            </w:r>
          </w:p>
          <w:p w14:paraId="7090F94F" w14:textId="2BE4F1B7" w:rsidR="00285257" w:rsidRPr="00D55DCE" w:rsidRDefault="00285257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Διερευνητική ανάλυση δεδομένων (</w:t>
            </w:r>
            <w:r>
              <w:rPr>
                <w:rFonts w:ascii="Cambria" w:hAnsi="Cambria" w:cstheme="minorHAnsi"/>
                <w:sz w:val="20"/>
                <w:szCs w:val="20"/>
                <w:lang w:val="en-GB"/>
              </w:rPr>
              <w:t>Descriptive</w:t>
            </w:r>
            <w:r w:rsidRPr="00285257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>
              <w:rPr>
                <w:rFonts w:ascii="Cambria" w:hAnsi="Cambria" w:cstheme="minorHAnsi"/>
                <w:sz w:val="20"/>
                <w:szCs w:val="20"/>
                <w:lang w:val="en-GB"/>
              </w:rPr>
              <w:t>statistics</w:t>
            </w:r>
            <w:r w:rsidRPr="00285257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4F917D1F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Επαγωγική ανάλυση δεδομένων (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Inferential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statistics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328FD3AA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Έλεγχος στατιστικών υποθέσεων &amp; ποιότητας δεδομένων</w:t>
            </w:r>
          </w:p>
          <w:p w14:paraId="52B7F68D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Σφάλματα απόφασης (τύπου Ι &amp; ΙΙ)</w:t>
            </w:r>
          </w:p>
          <w:p w14:paraId="767A583C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Κατανομή δεδομένων</w:t>
            </w:r>
          </w:p>
          <w:p w14:paraId="4E97EDE8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Διακύμανση δεδομένων</w:t>
            </w:r>
          </w:p>
          <w:p w14:paraId="358EBDB7" w14:textId="77777777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D55DCE">
              <w:rPr>
                <w:rFonts w:ascii="Cambria" w:hAnsi="Cambria" w:cstheme="minorHAnsi"/>
                <w:sz w:val="20"/>
                <w:szCs w:val="20"/>
              </w:rPr>
              <w:t>Μεθοδολογία επιλογής κατάλληλου στατιστικού (παραμετρικού ή μη παραμετρικού) τεστ</w:t>
            </w:r>
          </w:p>
          <w:p w14:paraId="4010E68E" w14:textId="54928A89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Σύγκριση</w:t>
            </w:r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δύο συνόλων δεδομένων (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Student’t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T-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test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κλπ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63699D97" w14:textId="176E4DFE" w:rsidR="00D55DCE" w:rsidRPr="00D55DCE" w:rsidRDefault="00D55DCE" w:rsidP="003A147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Σύγκριση</w:t>
            </w:r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τριών και περισσότερων συνόλων δεδομένων (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Anova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proofErr w:type="spellStart"/>
            <w:r w:rsidRPr="00D55DCE">
              <w:rPr>
                <w:rFonts w:ascii="Cambria" w:hAnsi="Cambria" w:cstheme="minorHAnsi"/>
                <w:sz w:val="20"/>
                <w:szCs w:val="20"/>
              </w:rPr>
              <w:t>κλπ</w:t>
            </w:r>
            <w:proofErr w:type="spellEnd"/>
            <w:r w:rsidRPr="00D55DCE">
              <w:rPr>
                <w:rFonts w:ascii="Cambria" w:hAnsi="Cambria" w:cstheme="minorHAnsi"/>
                <w:sz w:val="20"/>
                <w:szCs w:val="20"/>
              </w:rPr>
              <w:t>)</w:t>
            </w:r>
          </w:p>
          <w:p w14:paraId="34BD9956" w14:textId="4A0C28BA" w:rsidR="001841B9" w:rsidRPr="00213EA6" w:rsidRDefault="001841B9" w:rsidP="003A147F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sz w:val="20"/>
                <w:szCs w:val="20"/>
                <w:lang w:val="el-GR"/>
              </w:rPr>
              <w:lastRenderedPageBreak/>
              <w:t>Το μάθημα αποσκοπεί</w:t>
            </w:r>
            <w:r w:rsidRPr="00213EA6">
              <w:rPr>
                <w:rFonts w:ascii="Cambria" w:hAnsi="Cambria" w:cstheme="minorHAnsi"/>
                <w:sz w:val="20"/>
                <w:szCs w:val="20"/>
                <w:lang w:val="el-GR"/>
              </w:rPr>
              <w:t>:</w:t>
            </w:r>
          </w:p>
          <w:p w14:paraId="604B738F" w14:textId="2A3F1C08" w:rsidR="005B3D19" w:rsidRPr="001E64C8" w:rsidRDefault="005B3D19" w:rsidP="003A147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41" w:hanging="426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Στην </w:t>
            </w:r>
            <w:r w:rsidR="00853D4A" w:rsidRPr="001E64C8">
              <w:rPr>
                <w:rFonts w:ascii="Cambria" w:hAnsi="Cambria" w:cstheme="minorHAnsi"/>
                <w:sz w:val="20"/>
                <w:szCs w:val="20"/>
              </w:rPr>
              <w:t>π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αροχή μίας ολοκληρωμένης βάσης στις αρχές και πρακτικές του ερευνητικού σχεδιασμού και της στατιστικής ανάλυσης. </w:t>
            </w:r>
            <w:r w:rsidR="001E64C8">
              <w:rPr>
                <w:rFonts w:ascii="Cambria" w:hAnsi="Cambria" w:cstheme="minorHAnsi"/>
                <w:sz w:val="20"/>
                <w:szCs w:val="20"/>
              </w:rPr>
              <w:t>Στην κ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άλυψη βασικών πτυχών της ερευνητικής μεθοδολογίας, των δεοντολογικών προβληματισμών, των διαφόρων ερευνητικών σχεδιασμών και της διατύπωσης ερευνητικών ερωτημάτων και υποθέσεων. </w:t>
            </w:r>
            <w:r w:rsidR="00853D4A" w:rsidRPr="001E64C8">
              <w:rPr>
                <w:rFonts w:ascii="Cambria" w:hAnsi="Cambria" w:cstheme="minorHAnsi"/>
                <w:sz w:val="20"/>
                <w:szCs w:val="20"/>
              </w:rPr>
              <w:t>Στη δ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ιδασκαλία τεχνικών συλλογής δεδομένων, μεθόδων δειγματοληψίας και διαχείρισης δεδομένων για αποτελεσματική προετοιμασία προς ανάλυση. </w:t>
            </w:r>
            <w:r w:rsidR="00853D4A" w:rsidRPr="001E64C8">
              <w:rPr>
                <w:rFonts w:ascii="Cambria" w:hAnsi="Cambria" w:cstheme="minorHAnsi"/>
                <w:sz w:val="20"/>
                <w:szCs w:val="20"/>
              </w:rPr>
              <w:t>Στην ε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ισαγωγή στην περιγραφική και επαγωγική στατιστική, με έμφαση στα μέτρα κεντρικής τάσης και μεταβλητότητας, κατανομές πιθανοτήτων, έλεγχο υποθέσεων, διαστήματα εμπιστοσύνης και τιμές πιθανοτήτων. </w:t>
            </w:r>
            <w:r w:rsidR="00853D4A" w:rsidRPr="001E64C8">
              <w:rPr>
                <w:rFonts w:ascii="Cambria" w:hAnsi="Cambria" w:cstheme="minorHAnsi"/>
                <w:sz w:val="20"/>
                <w:szCs w:val="20"/>
              </w:rPr>
              <w:t>Στη χ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ρήση </w:t>
            </w:r>
            <w:r w:rsidR="00853D4A" w:rsidRPr="001E64C8">
              <w:rPr>
                <w:rFonts w:ascii="Cambria" w:hAnsi="Cambria" w:cstheme="minorHAnsi"/>
                <w:sz w:val="20"/>
                <w:szCs w:val="20"/>
              </w:rPr>
              <w:t xml:space="preserve">εμπορικού και ανοικτού κώδικα λογισμικού 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στατιστικής επεξεργασίας (π.χ. </w:t>
            </w:r>
            <w:proofErr w:type="spellStart"/>
            <w:r w:rsidRPr="001E64C8">
              <w:rPr>
                <w:rFonts w:ascii="Cambria" w:hAnsi="Cambria" w:cstheme="minorHAnsi"/>
                <w:sz w:val="20"/>
                <w:szCs w:val="20"/>
              </w:rPr>
              <w:t>Jamovi</w:t>
            </w:r>
            <w:proofErr w:type="spellEnd"/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1E64C8">
              <w:rPr>
                <w:rFonts w:ascii="Cambria" w:hAnsi="Cambria" w:cstheme="minorHAnsi"/>
                <w:sz w:val="20"/>
                <w:szCs w:val="20"/>
              </w:rPr>
              <w:t>PAST</w:t>
            </w:r>
            <w:proofErr w:type="spellEnd"/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1E64C8">
              <w:rPr>
                <w:rFonts w:ascii="Cambria" w:hAnsi="Cambria" w:cstheme="minorHAnsi"/>
                <w:sz w:val="20"/>
                <w:szCs w:val="20"/>
              </w:rPr>
              <w:t>JASP</w:t>
            </w:r>
            <w:proofErr w:type="spellEnd"/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, </w:t>
            </w:r>
            <w:proofErr w:type="spellStart"/>
            <w:r w:rsidRPr="001E64C8">
              <w:rPr>
                <w:rFonts w:ascii="Cambria" w:hAnsi="Cambria" w:cstheme="minorHAnsi"/>
                <w:sz w:val="20"/>
                <w:szCs w:val="20"/>
              </w:rPr>
              <w:t>SPSS</w:t>
            </w:r>
            <w:proofErr w:type="spellEnd"/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) και ανάλυσης δεδομένων σε πραγματικές συνθήκες. </w:t>
            </w:r>
            <w:r w:rsidR="001E64C8" w:rsidRPr="001E64C8">
              <w:rPr>
                <w:rFonts w:ascii="Cambria" w:hAnsi="Cambria" w:cstheme="minorHAnsi"/>
                <w:sz w:val="20"/>
                <w:szCs w:val="20"/>
              </w:rPr>
              <w:t>Θα δοθεί ιδιαίτερη έ</w:t>
            </w:r>
            <w:r w:rsidRPr="001E64C8">
              <w:rPr>
                <w:rFonts w:ascii="Cambria" w:hAnsi="Cambria" w:cstheme="minorHAnsi"/>
                <w:sz w:val="20"/>
                <w:szCs w:val="20"/>
              </w:rPr>
              <w:t xml:space="preserve">μφαση στην ερμηνεία και επικοινωνία των ερευνητικών ευρημάτων μέσω γραπτών εργασιών και προφορικών παρουσιάσεων. </w:t>
            </w:r>
          </w:p>
          <w:p w14:paraId="671AD170" w14:textId="32F01C94" w:rsidR="001841B9" w:rsidRPr="00285257" w:rsidRDefault="00213EA6" w:rsidP="003A147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741" w:hanging="426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13EA6">
              <w:rPr>
                <w:rFonts w:ascii="Cambria" w:hAnsi="Cambria" w:cstheme="minorHAnsi"/>
                <w:sz w:val="20"/>
                <w:szCs w:val="20"/>
              </w:rPr>
              <w:t xml:space="preserve">Στο τέλος του μαθήματος, οι φοιτητές αναμένεται να </w:t>
            </w:r>
            <w:r w:rsidR="00285257">
              <w:rPr>
                <w:rFonts w:ascii="Cambria" w:hAnsi="Cambria" w:cstheme="minorHAnsi"/>
                <w:sz w:val="20"/>
                <w:szCs w:val="20"/>
              </w:rPr>
              <w:t>έχουν αποκτήσει δεξιότητες στο σχεδιασμό, διεξαγωγή και ανάλυση</w:t>
            </w:r>
            <w:r w:rsidRPr="00213EA6">
              <w:rPr>
                <w:rFonts w:ascii="Cambria" w:hAnsi="Cambria" w:cstheme="minorHAnsi"/>
                <w:sz w:val="20"/>
                <w:szCs w:val="20"/>
              </w:rPr>
              <w:t xml:space="preserve"> δεδομ</w:t>
            </w:r>
            <w:r w:rsidR="00285257">
              <w:rPr>
                <w:rFonts w:ascii="Cambria" w:hAnsi="Cambria" w:cstheme="minorHAnsi"/>
                <w:sz w:val="20"/>
                <w:szCs w:val="20"/>
              </w:rPr>
              <w:t>ένων</w:t>
            </w:r>
            <w:r w:rsidRPr="00213EA6">
              <w:rPr>
                <w:rFonts w:ascii="Cambria" w:hAnsi="Cambria" w:cstheme="minorHAnsi"/>
                <w:sz w:val="20"/>
                <w:szCs w:val="20"/>
              </w:rPr>
              <w:t xml:space="preserve"> με κατάλληλες στατιστικές μεθόδους και </w:t>
            </w:r>
            <w:r w:rsidR="00285257">
              <w:rPr>
                <w:rFonts w:ascii="Cambria" w:hAnsi="Cambria" w:cstheme="minorHAnsi"/>
                <w:sz w:val="20"/>
                <w:szCs w:val="20"/>
              </w:rPr>
              <w:t>στην παρουσίαση</w:t>
            </w:r>
            <w:r w:rsidRPr="00213EA6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285257">
              <w:rPr>
                <w:rFonts w:ascii="Cambria" w:hAnsi="Cambria" w:cstheme="minorHAnsi"/>
                <w:sz w:val="20"/>
                <w:szCs w:val="20"/>
              </w:rPr>
              <w:t xml:space="preserve">των </w:t>
            </w:r>
            <w:r w:rsidRPr="00213EA6">
              <w:rPr>
                <w:rFonts w:ascii="Cambria" w:hAnsi="Cambria" w:cstheme="minorHAnsi"/>
                <w:sz w:val="20"/>
                <w:szCs w:val="20"/>
              </w:rPr>
              <w:t>ευρ</w:t>
            </w:r>
            <w:r w:rsidR="00285257">
              <w:rPr>
                <w:rFonts w:ascii="Cambria" w:hAnsi="Cambria" w:cstheme="minorHAnsi"/>
                <w:sz w:val="20"/>
                <w:szCs w:val="20"/>
              </w:rPr>
              <w:t>ημάτων</w:t>
            </w:r>
            <w:r w:rsidRPr="00213EA6">
              <w:rPr>
                <w:rFonts w:ascii="Cambria" w:hAnsi="Cambria" w:cstheme="minorHAnsi"/>
                <w:sz w:val="20"/>
                <w:szCs w:val="20"/>
              </w:rPr>
              <w:t>, διατηρώντας παράλληλα μια κριτική και ηθική προσέγγιση της έρευνας.</w:t>
            </w:r>
          </w:p>
        </w:tc>
      </w:tr>
      <w:tr w:rsidR="007D382B" w:rsidRPr="00E9142E" w14:paraId="005CF340" w14:textId="77777777" w:rsidTr="006404E6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177065" w14:paraId="41B94F08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08EC8225" w14:textId="1E7AABEB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911" w:type="dxa"/>
            <w:gridSpan w:val="5"/>
            <w:shd w:val="clear" w:color="auto" w:fill="auto"/>
          </w:tcPr>
          <w:p w14:paraId="74497924" w14:textId="09070C5F" w:rsidR="0079765A" w:rsidRPr="005348E2" w:rsidRDefault="00285257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Δια ζώ</w:t>
            </w:r>
            <w:r w:rsidR="006A6901">
              <w:rPr>
                <w:rFonts w:cstheme="minorHAnsi"/>
                <w:bCs/>
                <w:sz w:val="20"/>
                <w:szCs w:val="20"/>
                <w:lang w:val="el-GR"/>
              </w:rPr>
              <w:t>σ</w:t>
            </w:r>
            <w: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ης</w:t>
            </w:r>
          </w:p>
        </w:tc>
      </w:tr>
      <w:tr w:rsidR="007D382B" w:rsidRPr="00E9142E" w14:paraId="485DF3F0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7D19C549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911" w:type="dxa"/>
            <w:gridSpan w:val="5"/>
            <w:shd w:val="clear" w:color="auto" w:fill="FFFFFF" w:themeFill="background1"/>
          </w:tcPr>
          <w:p w14:paraId="57F76156" w14:textId="0E3031E3" w:rsidR="0079765A" w:rsidRPr="005348E2" w:rsidRDefault="0079765A" w:rsidP="001841B9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177065" w14:paraId="46A53865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576413E8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5348E2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911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5348E2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5348E2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5348E2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5348E2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2409C2D6" w:rsidR="0079765A" w:rsidRPr="005348E2" w:rsidRDefault="008C4099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35</w:t>
                  </w:r>
                </w:p>
              </w:tc>
            </w:tr>
            <w:tr w:rsidR="00205345" w:rsidRPr="005348E2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625F60A1" w:rsidR="00205345" w:rsidRPr="005348E2" w:rsidRDefault="008C4099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52</w:t>
                  </w:r>
                </w:p>
              </w:tc>
            </w:tr>
            <w:tr w:rsidR="00205345" w:rsidRPr="005348E2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0E2FE392" w:rsidR="00205345" w:rsidRPr="005348E2" w:rsidRDefault="008C4099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25</w:t>
                  </w:r>
                </w:p>
              </w:tc>
            </w:tr>
            <w:tr w:rsidR="00205345" w:rsidRPr="005348E2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5348E2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6761B8E2" w:rsidR="00205345" w:rsidRPr="005348E2" w:rsidRDefault="008C4099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7D382B" w:rsidRPr="00177065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5348E2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48E2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347E2B67" w:rsidR="0079765A" w:rsidRPr="005348E2" w:rsidRDefault="008C4099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125</w:t>
                  </w:r>
                </w:p>
              </w:tc>
            </w:tr>
          </w:tbl>
          <w:p w14:paraId="50617A7F" w14:textId="77777777" w:rsidR="0079765A" w:rsidRPr="005348E2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177065" w14:paraId="688B45F1" w14:textId="77777777" w:rsidTr="006404E6">
        <w:tc>
          <w:tcPr>
            <w:tcW w:w="4721" w:type="dxa"/>
            <w:shd w:val="clear" w:color="auto" w:fill="F2F2F2" w:themeFill="background1" w:themeFillShade="F2"/>
          </w:tcPr>
          <w:p w14:paraId="4B7167DD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386EF692" w14:textId="6B4CA89F" w:rsidR="0079765A" w:rsidRPr="005348E2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5348E2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5911" w:type="dxa"/>
            <w:gridSpan w:val="5"/>
            <w:shd w:val="clear" w:color="auto" w:fill="auto"/>
          </w:tcPr>
          <w:p w14:paraId="7FD2A770" w14:textId="77777777" w:rsidR="0079765A" w:rsidRPr="005348E2" w:rsidRDefault="0079765A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351E5AB9" w14:textId="63792BA8" w:rsidR="00205345" w:rsidRPr="005348E2" w:rsidRDefault="008C4099" w:rsidP="00205345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Γραπτ</w:t>
            </w:r>
            <w:r w:rsidR="001C55B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ές</w:t>
            </w:r>
            <w:r w:rsidRPr="005348E2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Εργασί</w:t>
            </w:r>
            <w:r w:rsidR="001C55B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ες</w:t>
            </w:r>
            <w: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- Παρουσίαση</w:t>
            </w:r>
          </w:p>
        </w:tc>
      </w:tr>
      <w:tr w:rsidR="007D382B" w:rsidRPr="005348E2" w14:paraId="286895FC" w14:textId="77777777" w:rsidTr="006404E6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5348E2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5348E2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5348E2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8C4099" w14:paraId="59D52CD5" w14:textId="77777777" w:rsidTr="006404E6">
        <w:tc>
          <w:tcPr>
            <w:tcW w:w="4721" w:type="dxa"/>
            <w:shd w:val="clear" w:color="auto" w:fill="FFFFFF" w:themeFill="background1"/>
          </w:tcPr>
          <w:p w14:paraId="3DBB8845" w14:textId="43204522" w:rsidR="0079765A" w:rsidRPr="005348E2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5348E2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911" w:type="dxa"/>
            <w:gridSpan w:val="5"/>
            <w:shd w:val="clear" w:color="auto" w:fill="FFFFFF" w:themeFill="background1"/>
          </w:tcPr>
          <w:p w14:paraId="0EF77B6C" w14:textId="274B625A" w:rsidR="0079765A" w:rsidRPr="00B84423" w:rsidRDefault="008C4099" w:rsidP="00967F6B">
            <w:pPr>
              <w:ind w:left="269" w:hanging="269"/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proofErr w:type="spellStart"/>
            <w:r w:rsidRPr="000F1756">
              <w:rPr>
                <w:rFonts w:ascii="Cambria" w:hAnsi="Cambria"/>
                <w:sz w:val="20"/>
                <w:szCs w:val="20"/>
                <w:lang w:val="el-GR"/>
              </w:rPr>
              <w:t>Χάλκος</w:t>
            </w:r>
            <w:proofErr w:type="spellEnd"/>
            <w:r w:rsidRPr="000F1756">
              <w:rPr>
                <w:rFonts w:ascii="Cambria" w:hAnsi="Cambria"/>
                <w:sz w:val="20"/>
                <w:szCs w:val="20"/>
                <w:lang w:val="el-GR"/>
              </w:rPr>
              <w:t xml:space="preserve"> Ε.Γ., 2011, ΣΤΑΤΙΣΤΙΚΗ, Εκδόσεις: Γ. </w:t>
            </w:r>
            <w:r w:rsidR="001E64C8" w:rsidRPr="000F1756">
              <w:rPr>
                <w:rFonts w:ascii="Cambria" w:hAnsi="Cambria"/>
                <w:sz w:val="20"/>
                <w:szCs w:val="20"/>
                <w:lang w:val="el-GR"/>
              </w:rPr>
              <w:t>Δάρδανος</w:t>
            </w:r>
            <w:r w:rsidRPr="000F1756">
              <w:rPr>
                <w:rFonts w:ascii="Cambria" w:hAnsi="Cambria"/>
                <w:sz w:val="20"/>
                <w:szCs w:val="20"/>
                <w:lang w:val="el-GR"/>
              </w:rPr>
              <w:t xml:space="preserve"> </w:t>
            </w:r>
          </w:p>
          <w:p w14:paraId="578449FA" w14:textId="367CE4F0" w:rsidR="00C74D5C" w:rsidRPr="000F1756" w:rsidRDefault="00C74D5C" w:rsidP="00967F6B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Ζωγράφος, Κ., &amp; Τσαϊρίδης, Χ. (2024). Στατιστική και Στοιχεία Πιθανοτήτων [Προπτυχιακό εγχειρίδιο]. </w:t>
            </w:r>
            <w:proofErr w:type="spellStart"/>
            <w:r w:rsidRPr="00B84423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B8442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Ανοικτές Ακαδημαϊκές Εκδόσεις. </w:t>
            </w:r>
            <w:hyperlink r:id="rId5" w:history="1"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https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://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dx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doi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org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/10.57713/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kallipos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-346</w:t>
              </w:r>
            </w:hyperlink>
          </w:p>
          <w:p w14:paraId="1AF8DEC8" w14:textId="21C3BAEE" w:rsidR="005A739E" w:rsidRPr="00B84423" w:rsidRDefault="005A739E" w:rsidP="00967F6B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Καμαράτος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, Μ. (2022). Εισαγωγή στις Πιθανότητες και</w:t>
            </w:r>
            <w:r w:rsidR="00967F6B"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τη Στατιστική [Προπτυχιακό εγχειρίδιο].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Ανοικτές Ακαδημαϊκές Εκδόσεις. </w:t>
            </w:r>
            <w:hyperlink r:id="rId6" w:history="1"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http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://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dx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doi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org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/10.57713/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kallipos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-48</w:t>
              </w:r>
            </w:hyperlink>
          </w:p>
          <w:p w14:paraId="0FF0A2EE" w14:textId="624F49CE" w:rsidR="00967F6B" w:rsidRPr="000F1756" w:rsidRDefault="00967F6B" w:rsidP="00967F6B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lastRenderedPageBreak/>
              <w:t>Τσαγρής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Μ., &amp;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Κουκουριτάκης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Μ. (2022). Στατιστική με τη χρήση των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ΙΒΜ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SPSS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26 και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Eviews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11 [Προπτυχιακό εγχειρίδιο].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, Ανοικτές Ακαδημαϊκές Εκδόσεις.</w:t>
            </w:r>
            <w:r w:rsidRPr="00B8442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hyperlink r:id="rId7" w:history="1"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http://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dx.doi.org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/10.57713/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kallipos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-68</w:t>
              </w:r>
            </w:hyperlink>
          </w:p>
          <w:p w14:paraId="4E943FD6" w14:textId="10079E73" w:rsidR="005A739E" w:rsidRPr="000F1756" w:rsidRDefault="005A739E" w:rsidP="00967F6B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Χασιώτης, Β., &amp;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Χαλικιάς,Μ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.(2024).Πειραματικοί Σχεδιασμοί και Στατιστική Ανάλυση [Μεταπτυχιακό εγχειρίδιο].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Ανοικτές Ακαδημαϊκές Εκδόσεις. </w:t>
            </w:r>
            <w:hyperlink r:id="rId8" w:history="1"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http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://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dx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doi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org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/10.57713/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kallipos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-393</w:t>
              </w:r>
            </w:hyperlink>
          </w:p>
          <w:p w14:paraId="2DB416FF" w14:textId="6E3C5EE5" w:rsidR="00205F22" w:rsidRPr="000F1756" w:rsidRDefault="00205F22" w:rsidP="00967F6B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Χαλικιάς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Μ., Λάλου, Π., &amp; </w:t>
            </w:r>
            <w:proofErr w:type="spellStart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>Μανωλέσου</w:t>
            </w:r>
            <w:proofErr w:type="spellEnd"/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Α. (2015). Μεθοδολογία έρευνας και εισαγωγή στη Στατιστική Ανάλυση Δεδομένων με το </w:t>
            </w:r>
            <w:r w:rsidRPr="000F1756">
              <w:rPr>
                <w:rFonts w:ascii="Cambria" w:hAnsi="Cambria" w:cstheme="minorHAnsi"/>
                <w:sz w:val="20"/>
                <w:szCs w:val="20"/>
                <w:lang w:val="en-GB"/>
              </w:rPr>
              <w:t>IBM</w:t>
            </w: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Pr="000F1756">
              <w:rPr>
                <w:rFonts w:ascii="Cambria" w:hAnsi="Cambria" w:cstheme="minorHAnsi"/>
                <w:sz w:val="20"/>
                <w:szCs w:val="20"/>
                <w:lang w:val="en-GB"/>
              </w:rPr>
              <w:t>SPSS</w:t>
            </w: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</w:t>
            </w:r>
            <w:r w:rsidRPr="000F1756">
              <w:rPr>
                <w:rFonts w:ascii="Cambria" w:hAnsi="Cambria" w:cstheme="minorHAnsi"/>
                <w:sz w:val="20"/>
                <w:szCs w:val="20"/>
                <w:lang w:val="en-GB"/>
              </w:rPr>
              <w:t>STATISTICS</w:t>
            </w:r>
            <w:r w:rsidRPr="000F1756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[Εργαστηριακός Οδηγός]. </w:t>
            </w:r>
            <w:proofErr w:type="spellStart"/>
            <w:r w:rsidRPr="00B84423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B84423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Ανοικτές Ακαδημαϊκές Εκδόσεις. </w:t>
            </w:r>
            <w:hyperlink r:id="rId9" w:history="1"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https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://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dx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doi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.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org</w:t>
              </w:r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/10.57713/</w:t>
              </w:r>
              <w:proofErr w:type="spellStart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n-GB"/>
                </w:rPr>
                <w:t>kallipos</w:t>
              </w:r>
              <w:proofErr w:type="spellEnd"/>
              <w:r w:rsidRPr="000F1756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-528</w:t>
              </w:r>
            </w:hyperlink>
          </w:p>
          <w:p w14:paraId="05EFC13E" w14:textId="68CFB818" w:rsidR="00205F22" w:rsidRPr="00205F22" w:rsidRDefault="00923865" w:rsidP="00923865">
            <w:pPr>
              <w:ind w:left="269" w:hanging="269"/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proofErr w:type="spellStart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>Μαλεφάκη</w:t>
            </w:r>
            <w:proofErr w:type="spellEnd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Σ., </w:t>
            </w:r>
            <w:proofErr w:type="spellStart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>Μπατσίδης</w:t>
            </w:r>
            <w:proofErr w:type="spellEnd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Α., &amp; Οικονόμου, Π. (2023). Στατιστική Ανάλυση Δεδομένων [Προπτυχιακό εγχειρίδιο]. </w:t>
            </w:r>
            <w:proofErr w:type="spellStart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>Κάλλιπος</w:t>
            </w:r>
            <w:proofErr w:type="spellEnd"/>
            <w:r w:rsidRPr="00923865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, Ανοικτές Ακαδημαϊκές Εκδόσεις. </w:t>
            </w:r>
            <w:hyperlink r:id="rId10" w:history="1">
              <w:r w:rsidRPr="00865B93">
                <w:rPr>
                  <w:rStyle w:val="-"/>
                  <w:rFonts w:ascii="Cambria" w:hAnsi="Cambria" w:cstheme="minorHAnsi"/>
                  <w:sz w:val="20"/>
                  <w:szCs w:val="20"/>
                  <w:lang w:val="el-GR"/>
                </w:rPr>
                <w:t>https://dx.doi.org/10.57713/kallipos-321</w:t>
              </w:r>
            </w:hyperlink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191"/>
    <w:multiLevelType w:val="hybridMultilevel"/>
    <w:tmpl w:val="BEC03D1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4786">
    <w:abstractNumId w:val="4"/>
  </w:num>
  <w:num w:numId="2" w16cid:durableId="74519030">
    <w:abstractNumId w:val="0"/>
  </w:num>
  <w:num w:numId="3" w16cid:durableId="801505949">
    <w:abstractNumId w:val="5"/>
  </w:num>
  <w:num w:numId="4" w16cid:durableId="634413555">
    <w:abstractNumId w:val="7"/>
  </w:num>
  <w:num w:numId="5" w16cid:durableId="325279447">
    <w:abstractNumId w:val="2"/>
  </w:num>
  <w:num w:numId="6" w16cid:durableId="1158299769">
    <w:abstractNumId w:val="3"/>
  </w:num>
  <w:num w:numId="7" w16cid:durableId="191651703">
    <w:abstractNumId w:val="6"/>
  </w:num>
  <w:num w:numId="8" w16cid:durableId="5490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B532C"/>
    <w:rsid w:val="000F1756"/>
    <w:rsid w:val="000F5DF6"/>
    <w:rsid w:val="001039CA"/>
    <w:rsid w:val="00177065"/>
    <w:rsid w:val="001841B9"/>
    <w:rsid w:val="001C55B8"/>
    <w:rsid w:val="001E64C8"/>
    <w:rsid w:val="00205345"/>
    <w:rsid w:val="00205F22"/>
    <w:rsid w:val="00213EA6"/>
    <w:rsid w:val="00285257"/>
    <w:rsid w:val="002B6892"/>
    <w:rsid w:val="003A147F"/>
    <w:rsid w:val="005348E2"/>
    <w:rsid w:val="005A739E"/>
    <w:rsid w:val="005B3D19"/>
    <w:rsid w:val="005B56DD"/>
    <w:rsid w:val="006404E6"/>
    <w:rsid w:val="006A6901"/>
    <w:rsid w:val="00716498"/>
    <w:rsid w:val="0079765A"/>
    <w:rsid w:val="007D382B"/>
    <w:rsid w:val="008159D7"/>
    <w:rsid w:val="00853D4A"/>
    <w:rsid w:val="00877657"/>
    <w:rsid w:val="008C4099"/>
    <w:rsid w:val="00923865"/>
    <w:rsid w:val="00961A30"/>
    <w:rsid w:val="00967F6B"/>
    <w:rsid w:val="009F5A5A"/>
    <w:rsid w:val="00A05DF6"/>
    <w:rsid w:val="00AD7C85"/>
    <w:rsid w:val="00B01066"/>
    <w:rsid w:val="00B3694B"/>
    <w:rsid w:val="00B60D10"/>
    <w:rsid w:val="00B84423"/>
    <w:rsid w:val="00C74D5C"/>
    <w:rsid w:val="00CC18DD"/>
    <w:rsid w:val="00CC4EC0"/>
    <w:rsid w:val="00D55DCE"/>
    <w:rsid w:val="00DF0D63"/>
    <w:rsid w:val="00E07783"/>
    <w:rsid w:val="00E777F4"/>
    <w:rsid w:val="00E9142E"/>
    <w:rsid w:val="00F66E91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A73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739E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23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7713/kallipos-3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57713/kallipos-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57713/kallipos-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x.doi.org/10.57713/kallipos-346" TargetMode="External"/><Relationship Id="rId10" Type="http://schemas.openxmlformats.org/officeDocument/2006/relationships/hyperlink" Target="https://dx.doi.org/10.57713/kallipos-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57713/kallipos-52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6261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6</cp:revision>
  <dcterms:created xsi:type="dcterms:W3CDTF">2024-09-27T11:09:00Z</dcterms:created>
  <dcterms:modified xsi:type="dcterms:W3CDTF">2024-09-27T11:29:00Z</dcterms:modified>
</cp:coreProperties>
</file>